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438150" cy="438150"/>
            <wp:effectExtent t="0" r="0" b="0" l="0"/>
            <wp:docPr id="1" name="Cinderpoint" descr="Cinderpoint shield mark" title="Cind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b/>
          <w:bCs/>
          <w:color w:val="0E7C7B"/>
          <w:sz w:val="28"/>
          <w:szCs w:val="28"/>
        </w:rPr>
        <w:t xml:space="preserve">SAFEMACHINE</w:t>
      </w:r>
    </w:p>
    <w:p>
      <w:pPr>
        <w:spacing w:after="240"/>
      </w:pPr>
      <w:r>
        <w:rPr>
          <w:color w:val="6B6B6B"/>
          <w:sz w:val="18"/>
          <w:szCs w:val="18"/>
        </w:rPr>
        <w:t xml:space="preserve">Responsible-AI readiness tool by Waydell D. Carvalho</w:t>
      </w:r>
    </w:p>
    <w:p>
      <w:pPr>
        <w:pStyle w:val="Title"/>
      </w:pPr>
      <w:r>
        <w:t xml:space="preserve">BASE - Organizational Readiness</w:t>
      </w:r>
    </w:p>
    <w:p>
      <w:pPr>
        <w:spacing w:after="120"/>
      </w:pPr>
      <w:r>
        <w:rPr>
          <w:color w:val="6B6B6B"/>
        </w:rPr>
        <w:t xml:space="preserve">Readiness baseline (Budget, Authority, Skills, Expectations) completed before the SAFEARC governance review.</w:t>
      </w:r>
    </w:p>
    <w:p>
      <w:pPr>
        <w:pBdr>
          <w:bottom w:val="single" w:color="0E7C7B" w:sz="6" w:space="4"/>
        </w:pBdr>
        <w:spacing w:after="120"/>
      </w:pPr>
      <w:r>
        <w:rPr>
          <w:i/>
          <w:iCs/>
          <w:color w:val="6B6B6B"/>
          <w:sz w:val="18"/>
          <w:szCs w:val="18"/>
        </w:rPr>
        <w:t xml:space="preserve">Source rules v1. This worksheet is a planning aid, not legal, compliance, or professional advice.</w:t>
      </w:r>
    </w:p>
    <w:p>
      <w:pPr>
        <w:spacing w:after="240"/>
      </w:pPr>
      <w:r>
        <w:rPr>
          <w:color w:val="6B6B6B"/>
          <w:sz w:val="16"/>
          <w:szCs w:val="16"/>
        </w:rPr>
        <w:t xml:space="preserve">(c) 2026 Cinderpoint Systems LLC. All rights reserved. Cinderpoint and SAFEMACHINE are trademarks of Cinderpoint Systems LLC. Published at cinderpoint.com/safemachine.</w:t>
      </w:r>
    </w:p>
    <w:p>
      <w:pPr>
        <w:pStyle w:val="Heading2"/>
      </w:pPr>
      <w:r>
        <w:t xml:space="preserve">BASE Self-Assessment (Budget · Authority · Skills · Expectations)</w:t>
      </w:r>
    </w:p>
    <w:p>
      <w:pPr>
        <w:spacing w:after="80"/>
      </w:pPr>
      <w:r>
        <w:rPr>
          <w:i/>
          <w:iCs/>
        </w:rPr>
        <w:t xml:space="preserve">Evaluate organizational readiness for SAFEARC (pre-incident) and STABLE (post-incident).</w:t>
      </w:r>
    </w:p>
    <w:p>
      <w:pPr>
        <w:spacing w:after="80"/>
      </w:pPr>
      <w:r>
        <w:rPr>
          <w:b/>
          <w:bCs/>
        </w:rPr>
        <w:t xml:space="preserve">How to use: </w:t>
      </w:r>
      <w:r>
        <w:t xml:space="preserve">BASE is not pass/fail. RED does not stop you. GREEN does not finish you. BASE reveals what must be fixed or improved.</w:t>
      </w:r>
    </w:p>
    <w:p>
      <w:pPr>
        <w:spacing w:after="80"/>
      </w:pPr>
      <w:r>
        <w:rPr>
          <w:b/>
          <w:bCs/>
        </w:rPr>
        <w:t xml:space="preserve">When: </w:t>
      </w:r>
      <w:r>
        <w:t xml:space="preserve">Run every 6 months and before any major SAFEARC or STABLE engagement.</w:t>
      </w:r>
    </w:p>
    <w:p>
      <w:pPr>
        <w:spacing w:after="80"/>
      </w:pPr>
      <w:r>
        <w:rPr>
          <w:b/>
          <w:bCs/>
        </w:rPr>
        <w:t xml:space="preserve">Non-punitive: </w:t>
      </w:r>
      <w:r>
        <w:t xml:space="preserve">BASE responses are non-punitive and cannot be used for employee performance evaluation.</w:t>
      </w:r>
    </w:p>
    <w:p>
      <w:pPr>
        <w:spacing w:after="80"/>
      </w:pPr>
      <w:r>
        <w:rPr>
          <w:b/>
          <w:bCs/>
        </w:rPr>
        <w:t xml:space="preserve">Readiness: </w:t>
      </w:r>
      <w:r>
        <w:t xml:space="preserve">BASE determines whether conditions for SAFEARC/STABLE readiness are met.</w:t>
      </w:r>
    </w:p>
    <w:p>
      <w:pPr>
        <w:spacing w:after="80"/>
      </w:pPr>
      <w:r>
        <w:rPr>
          <w:b/>
          <w:bCs/>
        </w:rPr>
        <w:t xml:space="preserve">Scoring (reverse-primed): </w:t>
      </w:r>
      <w:r>
        <w:t xml:space="preserve">RED = none / not present. YELLOW = partial / inconsistent. GREEN = sufficient / fully in place.</w:t>
      </w:r>
    </w:p>
    <w:p>
      <w:pPr>
        <w:pStyle w:val="Heading3"/>
      </w:pPr>
      <w:r>
        <w:t xml:space="preserve">B - Budget</w:t>
      </w:r>
    </w:p>
    <w:p>
      <w:pPr>
        <w:spacing w:after="40" w:before="120"/>
      </w:pPr>
      <w:r>
        <w:rPr>
          <w:b/>
          <w:bCs/>
        </w:rPr>
        <w:t xml:space="preserve">1. Does the organization set money aside specifically for AI safety, updates, retraining, and fixes?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2. Does the organization assign staff time to maintain AI tools and resolve issues?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A - Authority</w:t>
      </w:r>
    </w:p>
    <w:p>
      <w:pPr>
        <w:spacing w:after="40" w:before="120"/>
      </w:pPr>
      <w:r>
        <w:rPr>
          <w:b/>
          <w:bCs/>
        </w:rPr>
        <w:t xml:space="preserve">3. Do senior leaders explicitly support AI safety and governance?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4. Is there a named person or team with final authority over AI decisions?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S - Skills</w:t>
      </w:r>
    </w:p>
    <w:p>
      <w:pPr>
        <w:spacing w:after="40" w:before="120"/>
      </w:pPr>
      <w:r>
        <w:rPr>
          <w:b/>
          <w:bCs/>
        </w:rPr>
        <w:t xml:space="preserve">5. Do workers understand the AI tools they use enough to operate them safely?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6. Does the organization train staff on AI safety at least every six months?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E - Expectations</w:t>
      </w:r>
    </w:p>
    <w:p>
      <w:pPr>
        <w:spacing w:after="40" w:before="120"/>
      </w:pPr>
      <w:r>
        <w:rPr>
          <w:b/>
          <w:bCs/>
        </w:rPr>
        <w:t xml:space="preserve">7. Are there written rules defining permitted and prohibited AI behavior?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8. Is there a formal review process for launching or updating any AI system?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BASE Summary</w:t>
      </w:r>
    </w:p>
    <w:p>
      <w:pPr>
        <w:spacing w:after="80"/>
      </w:pPr>
      <w:r>
        <w:rPr>
          <w:i/>
          <w:iCs/>
          <w:color w:val="6B6B6B"/>
        </w:rPr>
        <w:t xml:space="preserve">BASE covers eight readiness dimensions across four pillars: Leadership, Oversight, Culture, Training, Budget, Resources, Policies, Processes.</w:t>
      </w:r>
    </w:p>
    <w:p>
      <w:pPr>
        <w:spacing w:after="40" w:before="120"/>
      </w:pPr>
      <w:r>
        <w:rPr>
          <w:b/>
          <w:bCs/>
        </w:rPr>
        <w:t xml:space="preserve">-. Leadership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Oversight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Culture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Training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Budget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Resources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Policies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spacing w:after="40" w:before="120"/>
      </w:pPr>
      <w:r>
        <w:rPr>
          <w:b/>
          <w:bCs/>
        </w:rPr>
        <w:t xml:space="preserve">-. Processes</w:t>
      </w:r>
    </w:p>
    <w:p>
      <w:pPr>
        <w:spacing w:after="20"/>
        <w:ind w:left="360"/>
      </w:pPr>
      <w:r>
        <w:t xml:space="preserve">[  ] RED (Unmet)    [  ] YELLOW (Partial)    [  ] GREEN (Met)</w:t>
      </w:r>
    </w:p>
    <w:p>
      <w:pPr>
        <w:pStyle w:val="Heading3"/>
      </w:pPr>
      <w:r>
        <w:t xml:space="preserve">Sources</w:t>
      </w:r>
    </w:p>
    <w:p>
      <w:pPr>
        <w:pStyle w:val="ListParagraph"/>
        <w:numPr>
          <w:ilvl w:val="0"/>
          <w:numId w:val="2"/>
        </w:numPr>
      </w:pPr>
      <w:r>
        <w:t xml:space="preserve">NIST AI RMF - https://www.nist.gov/itl/ai-risk-management-framework</w:t>
      </w:r>
    </w:p>
    <w:p>
      <w:pPr>
        <w:pStyle w:val="ListParagraph"/>
        <w:numPr>
          <w:ilvl w:val="0"/>
          <w:numId w:val="2"/>
        </w:numPr>
      </w:pPr>
      <w:r>
        <w:t xml:space="preserve">ISO/IEC 42001 - https://www.iso.org/standard/81230.html</w:t>
      </w:r>
    </w:p>
    <w:p>
      <w:pPr>
        <w:pStyle w:val="ListParagraph"/>
        <w:numPr>
          <w:ilvl w:val="0"/>
          <w:numId w:val="2"/>
        </w:numPr>
      </w:pPr>
      <w:r>
        <w:t xml:space="preserve">OECD AI Principles - https://oecd.ai/en/ai-principles</w:t>
      </w:r>
    </w:p>
    <w:p>
      <w:pPr>
        <w:pStyle w:val="ListParagraph"/>
        <w:numPr>
          <w:ilvl w:val="0"/>
          <w:numId w:val="2"/>
        </w:numPr>
      </w:pPr>
      <w:r>
        <w:t xml:space="preserve">EU AI Act - https://artificialintelligenceact.eu/</w:t>
      </w:r>
    </w:p>
    <w:p>
      <w:pPr>
        <w:pStyle w:val="ListParagraph"/>
        <w:numPr>
          <w:ilvl w:val="0"/>
          <w:numId w:val="2"/>
        </w:numPr>
      </w:pPr>
      <w:r>
        <w:t xml:space="preserve">U.S. Executive Order 14110 - https://www.whitehouse.gov/briefing-room/presidential-actions/2023/10/30/executive-order-on-the-safe-secure-and-trustworthy-development-and-use-of-artificial-intelligence/</w:t>
      </w:r>
    </w:p>
    <w:p>
      <w:pPr>
        <w:pStyle w:val="ListParagraph"/>
        <w:numPr>
          <w:ilvl w:val="0"/>
          <w:numId w:val="2"/>
        </w:numPr>
      </w:pPr>
      <w:r>
        <w:t xml:space="preserve">Brazil PL 2338 - https://www.camara.leg.br/proposicoesWeb/fichadetramitacao?idProposicao=2338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(c) 2026 Cinderpoint Systems LLC  -  cinderpoint.com/safemachine  -  Page </w:t>
    </w:r>
    <w:r>
      <w:rPr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6B6B"/>
        <w:sz w:val="16"/>
        <w:szCs w:val="16"/>
      </w:rPr>
      <w:t xml:space="preserve">BASE - Organizational Readiness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/>
    </w:pPr>
    <w:rPr>
      <w:b/>
      <w:bCs/>
      <w:color w:val="1A1A1A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b/>
      <w:bCs/>
      <w:color w:val="0E7C7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0E7C7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00cd2a89c40128b16d02d51af3e8c1dda11faf5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- Organizational Readiness</dc:title>
  <dc:creator>SAFEMACHINE (Waydell D. Carvalho)</dc:creator>
  <cp:lastModifiedBy>Un-named</cp:lastModifiedBy>
  <cp:revision>1</cp:revision>
  <dcterms:created xsi:type="dcterms:W3CDTF">2026-06-02T23:43:17.555Z</dcterms:created>
  <dcterms:modified xsi:type="dcterms:W3CDTF">2026-06-02T23:43:17.556Z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