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drawing>
          <wp:inline distT="0" distB="0" distL="0" distR="0">
            <wp:extent cx="438150" cy="438150"/>
            <wp:effectExtent t="0" r="0" b="0" l="0"/>
            <wp:docPr id="1" name="Cinderpoint" descr="Cinderpoint shield mark" title="Cind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b/>
          <w:bCs/>
          <w:color w:val="0E7C7B"/>
          <w:sz w:val="28"/>
          <w:szCs w:val="28"/>
        </w:rPr>
        <w:t xml:space="preserve">SAFEMACHINE</w:t>
      </w:r>
    </w:p>
    <w:p>
      <w:pPr>
        <w:spacing w:after="240"/>
      </w:pPr>
      <w:r>
        <w:rPr>
          <w:color w:val="6B6B6B"/>
          <w:sz w:val="18"/>
          <w:szCs w:val="18"/>
        </w:rPr>
        <w:t xml:space="preserve">Responsible-AI readiness tool by Waydell D. Carvalho</w:t>
      </w:r>
    </w:p>
    <w:p>
      <w:pPr>
        <w:pStyle w:val="Title"/>
      </w:pPr>
      <w:r>
        <w:t xml:space="preserve">CARG - Continuous AI Runtime Governance</w:t>
      </w:r>
    </w:p>
    <w:p>
      <w:pPr>
        <w:spacing w:after="120"/>
      </w:pPr>
      <w:r>
        <w:rPr>
          <w:color w:val="6B6B6B"/>
        </w:rPr>
        <w:t xml:space="preserve">The six-component runtime-governance assessment for self-modifying or continuously-adapting AI, with the SMC-4 x HRP-4 hard stop.</w:t>
      </w:r>
    </w:p>
    <w:p>
      <w:pPr>
        <w:pBdr>
          <w:bottom w:val="single" w:color="0E7C7B" w:sz="6" w:space="4"/>
        </w:pBdr>
        <w:spacing w:after="120"/>
      </w:pPr>
      <w:r>
        <w:rPr>
          <w:i/>
          <w:iCs/>
          <w:color w:val="6B6B6B"/>
          <w:sz w:val="18"/>
          <w:szCs w:val="18"/>
        </w:rPr>
        <w:t xml:space="preserve">Source rules v1. This worksheet is a planning aid, not legal, compliance, or professional advice.</w:t>
      </w:r>
    </w:p>
    <w:p>
      <w:pPr>
        <w:spacing w:after="240"/>
      </w:pPr>
      <w:r>
        <w:rPr>
          <w:color w:val="6B6B6B"/>
          <w:sz w:val="16"/>
          <w:szCs w:val="16"/>
        </w:rPr>
        <w:t xml:space="preserve">(c) 2026 Cinderpoint Systems LLC. All rights reserved. Cinderpoint and SAFEMACHINE are trademarks of Cinderpoint Systems LLC. Published at cinderpoint.com/safemachine.</w:t>
      </w:r>
    </w:p>
    <w:p>
      <w:pPr>
        <w:pStyle w:val="Heading2"/>
      </w:pPr>
      <w:r>
        <w:t xml:space="preserve">CARG Runtime Governance Assessment (6 Components)</w:t>
      </w:r>
    </w:p>
    <w:p>
      <w:pPr>
        <w:spacing w:after="80"/>
      </w:pPr>
      <w:r>
        <w:rPr>
          <w:i/>
          <w:iCs/>
        </w:rPr>
        <w:t xml:space="preserve">Assess an adaptive AI deployment against the six components of the CARG Framework that close the runtime governance gap.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For each of the 6 components, answer 4 observable indicators. RED = obligation unmet. YELLOW = partial or unclear. GREEN = obligation fully met. Components accumulate; the total score and per-component profile identify which CARG obligations are most weakly satisfied. If you cannot answer a question, mark it as a gap.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Run when a self-modifying AI deployment is proposed, before sign-off, and on the cadence required by the deployment's SMC level (annual for SMC-2, semi-annual for SMC-3, quarterly for SMC-4 - see Section 5.6).</w:t>
      </w:r>
    </w:p>
    <w:p>
      <w:pPr>
        <w:spacing w:after="80"/>
      </w:pPr>
      <w:r>
        <w:rPr>
          <w:b/>
          <w:bCs/>
        </w:rPr>
        <w:t xml:space="preserve">Source: </w:t>
      </w:r>
      <w:r>
        <w:t xml:space="preserve">Derived from Carvalho 2026, "The Runtime Governance Gap in AI Regulation," Sections 5.1 through 5.6. Each of the 6 components addresses one of the four structural failures in Section 4.</w:t>
      </w:r>
    </w:p>
    <w:p>
      <w:pPr>
        <w:spacing w:after="80"/>
      </w:pPr>
      <w:r>
        <w:rPr>
          <w:b/>
          <w:bCs/>
        </w:rPr>
        <w:t xml:space="preserve">Scoring: </w:t>
      </w:r>
      <w:r>
        <w:t xml:space="preserve">Per question RED=20, YELLOW=10, GREEN=0. Per component = sum of 4 questions (0-80 raw / 0-100 normalized). Total = sum of 6 components (0-480 raw / 0-100 normalized).</w:t>
      </w:r>
    </w:p>
    <w:p>
      <w:pPr>
        <w:spacing w:after="80"/>
      </w:pPr>
      <w:r>
        <w:rPr>
          <w:b/>
          <w:bCs/>
        </w:rPr>
        <w:t xml:space="preserve">Tier thresholds (normalized 0-100): </w:t>
      </w:r>
      <w:r>
        <w:t xml:space="preserve">0-30 Aligned (CARG-compatible). 31-65 Drifting (runtime governance gap is forming). 66-100 Gap (the gap is operating in this deployment).</w:t>
      </w:r>
    </w:p>
    <w:p>
      <w:pPr>
        <w:spacing w:after="80"/>
      </w:pPr>
      <w:r>
        <w:rPr>
          <w:b/>
          <w:bCs/>
        </w:rPr>
        <w:t xml:space="preserve">Hard stop: </w:t>
      </w:r>
      <w:r>
        <w:t xml:space="preserve">A system classified at SMC-4 (architectural self-modification) combined with HRP-4 (irreversible physical harm or death) is deployment-restricted or prohibited under Section 5.5. This overrides the per-question score and forces a NO-GO decision.</w:t>
      </w:r>
    </w:p>
    <w:p>
      <w:pPr>
        <w:spacing w:after="80"/>
      </w:pPr>
      <w:r>
        <w:rPr>
          <w:b/>
          <w:bCs/>
        </w:rPr>
        <w:t xml:space="preserve">Relation to BASE / SAFEARC / OUTPACED: </w:t>
      </w:r>
      <w:r>
        <w:t xml:space="preserve">BASE = organisational readiness. SAFEARC = governance lifecycle. OUTPACED = failure-mode exposure. CARG = runtime regulatory alignment for adaptive systems. Use CARG when the system is self-modifying at runtime.</w:t>
      </w:r>
    </w:p>
    <w:p>
      <w:pPr>
        <w:pStyle w:val="Heading3"/>
      </w:pPr>
      <w:r>
        <w:t xml:space="preserve">Component 1 - Runtime Oversight Obligation (ROO, §5.1)</w:t>
      </w:r>
    </w:p>
    <w:p>
      <w:pPr>
        <w:spacing w:after="80"/>
      </w:pPr>
      <w:r>
        <w:rPr>
          <w:i/>
          <w:iCs/>
          <w:color w:val="6B6B6B"/>
        </w:rPr>
        <w:t xml:space="preserve">A mandatory, legally enforceable duty to monitor AI system behavior during operation, including the technical and institutional capacity to interrupt, override, or shut down system processes. Closes the absence-of-continuous-oversight failure.</w:t>
      </w:r>
    </w:p>
    <w:p>
      <w:pPr>
        <w:spacing w:after="40" w:before="120"/>
      </w:pPr>
      <w:r>
        <w:rPr>
          <w:b/>
          <w:bCs/>
        </w:rPr>
        <w:t xml:space="preserve">1.1. Is there a written policy that obligates continuous (or near-continuous) behavioral monitoring of this system during operation?</w:t>
      </w:r>
    </w:p>
    <w:p>
      <w:pPr>
        <w:spacing w:after="40"/>
      </w:pPr>
      <w:r>
        <w:rPr>
          <w:i/>
          <w:iCs/>
          <w:color w:val="6B6B6B"/>
        </w:rPr>
        <w:t xml:space="preserve">RED = no policy. YELLOW = informal / discretionary. GREEN = binding policy in place.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1.2. Is monitoring infrastructure (logs, traces, anomaly detection) deployed and collecting behavioral data right now?</w:t>
      </w:r>
    </w:p>
    <w:p>
      <w:pPr>
        <w:spacing w:after="40"/>
      </w:pPr>
      <w:r>
        <w:rPr>
          <w:i/>
          <w:iCs/>
          <w:color w:val="6B6B6B"/>
        </w:rPr>
        <w:t xml:space="preserve">RED = nothing collected. YELLOW = partial coverage. GREEN = continuous collection with drift indicators.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1.3. Does a named human role have the technical authority and institutional standing to interrupt, override, or shut the system down?</w:t>
      </w:r>
    </w:p>
    <w:p>
      <w:pPr>
        <w:spacing w:after="40"/>
      </w:pPr>
      <w:r>
        <w:rPr>
          <w:i/>
          <w:iCs/>
          <w:color w:val="6B6B6B"/>
        </w:rPr>
        <w:t xml:space="preserve">RED = no one. YELLOW = on paper only. GREEN = named role with tested authority.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1.4. When monitoring surfaces unacceptable behavior, is human intervention authority exercised in practice (not just on paper)?</w:t>
      </w:r>
    </w:p>
    <w:p>
      <w:pPr>
        <w:spacing w:after="40"/>
      </w:pPr>
      <w:r>
        <w:rPr>
          <w:i/>
          <w:iCs/>
          <w:color w:val="6B6B6B"/>
        </w:rPr>
        <w:t xml:space="preserve">RED = never tested. YELLOW = rare. GREEN = exercised within last review cycle.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pStyle w:val="Heading3"/>
      </w:pPr>
      <w:r>
        <w:t xml:space="preserve">Component 2 - Persistent Liability Doctrine (PLD, §5.2)</w:t>
      </w:r>
    </w:p>
    <w:p>
      <w:pPr>
        <w:spacing w:after="80"/>
      </w:pPr>
      <w:r>
        <w:rPr>
          <w:i/>
          <w:iCs/>
          <w:color w:val="6B6B6B"/>
        </w:rPr>
        <w:t xml:space="preserve">Ensures that legal responsibility does not fracture across self-modification cycles. The deployer or provider remains continuously accountable, regardless of whether the harm-causing behavior reflects initial design or subsequent internal reconfiguration. Closes the accountability-diffusion failure.</w:t>
      </w:r>
    </w:p>
    <w:p>
      <w:pPr>
        <w:spacing w:after="40" w:before="120"/>
      </w:pPr>
      <w:r>
        <w:rPr>
          <w:b/>
          <w:bCs/>
        </w:rPr>
        <w:t xml:space="preserve">2.1. Is there a clear, written allocation of liability between provider, deployer, and operator for harms arising during runtime?</w:t>
      </w:r>
    </w:p>
    <w:p>
      <w:pPr>
        <w:spacing w:after="40"/>
      </w:pPr>
      <w:r>
        <w:rPr>
          <w:i/>
          <w:iCs/>
          <w:color w:val="6B6B6B"/>
        </w:rPr>
        <w:t xml:space="preserve">RED = no allocation. YELLOW = ambiguous / boilerplate. GREEN = explicit and signed.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2.2. Does the liability allocation explicitly survive self-modification events (re-tuning, fine-tuning, online updates)?</w:t>
      </w:r>
    </w:p>
    <w:p>
      <w:pPr>
        <w:spacing w:after="40"/>
      </w:pPr>
      <w:r>
        <w:rPr>
          <w:i/>
          <w:iCs/>
          <w:color w:val="6B6B6B"/>
        </w:rPr>
        <w:t xml:space="preserve">RED = self-modification not addressed. YELLOW = mentioned but not binding. GREEN = explicit continuing obligation.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2.3. Are version-change, decision-pathway, and reconfiguration logs preserved as the evidentiary record for liability investigations?</w:t>
      </w:r>
    </w:p>
    <w:p>
      <w:pPr>
        <w:spacing w:after="40"/>
      </w:pPr>
      <w:r>
        <w:rPr>
          <w:i/>
          <w:iCs/>
          <w:color w:val="6B6B6B"/>
        </w:rPr>
        <w:t xml:space="preserve">RED = logs not retained. YELLOW = retained but not legally privileged / structured. GREEN = retained and discovery-ready.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2.4. Is the deployer prepared to be held liable for foreseeable consequences of the system's adaptive capacity (not just its initial design)?</w:t>
      </w:r>
    </w:p>
    <w:p>
      <w:pPr>
        <w:spacing w:after="40"/>
      </w:pPr>
      <w:r>
        <w:rPr>
          <w:i/>
          <w:iCs/>
          <w:color w:val="6B6B6B"/>
        </w:rPr>
        <w:t xml:space="preserve">RED = position is "we only own initial release." YELLOW = mixed. GREEN = explicit ownership of adaptive behavior.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pStyle w:val="Heading3"/>
      </w:pPr>
      <w:r>
        <w:t xml:space="preserve">Component 3 - Self-Modification Capacity (SMC, §5.3)</w:t>
      </w:r>
    </w:p>
    <w:p>
      <w:pPr>
        <w:spacing w:after="80"/>
      </w:pPr>
      <w:r>
        <w:rPr>
          <w:i/>
          <w:iCs/>
          <w:color w:val="6B6B6B"/>
        </w:rPr>
        <w:t xml:space="preserve">A capability-based classification of how much autonomy the system has to reconfigure itself during operation. Scale runs SMC-0 (no adaptive capacity) through SMC-4 (architectural self-modification). Where evidence is ambiguous between adjacent levels, default to the higher SMC category.</w:t>
      </w:r>
    </w:p>
    <w:p>
      <w:pPr>
        <w:spacing w:after="40" w:before="120"/>
      </w:pPr>
      <w:r>
        <w:rPr>
          <w:b/>
          <w:bCs/>
        </w:rPr>
        <w:t xml:space="preserve">3.1. Has the deployment been formally classified at an SMC level (0 to 4), with the classification documented in technical specifications?</w:t>
      </w:r>
    </w:p>
    <w:p>
      <w:pPr>
        <w:spacing w:after="40"/>
      </w:pPr>
      <w:r>
        <w:rPr>
          <w:i/>
          <w:iCs/>
          <w:color w:val="6B6B6B"/>
        </w:rPr>
        <w:t xml:space="preserve">RED = unclassified. YELLOW = informal estimate. GREEN = documented SMC level with rationale.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3.2. Is the SMC classification grounded in BOTH architectural documentation AND empirical observation of runtime behavior?</w:t>
      </w:r>
    </w:p>
    <w:p>
      <w:pPr>
        <w:spacing w:after="40"/>
      </w:pPr>
      <w:r>
        <w:rPr>
          <w:i/>
          <w:iCs/>
          <w:color w:val="6B6B6B"/>
        </w:rPr>
        <w:t xml:space="preserve">RED = neither. YELLOW = one or the other. GREEN = both, cross-checked.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3.3. When the architectural and empirical evidence disagree, does policy require defaulting to the HIGHER SMC level?</w:t>
      </w:r>
    </w:p>
    <w:p>
      <w:pPr>
        <w:spacing w:after="40"/>
      </w:pPr>
      <w:r>
        <w:rPr>
          <w:i/>
          <w:iCs/>
          <w:color w:val="6B6B6B"/>
        </w:rPr>
        <w:t xml:space="preserve">RED = default lower / not addressed. YELLOW = case-by-case. GREEN = explicit higher-default rule.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3.4. Is the SMC classification reviewed and updated whenever operational evidence (new logs, new behaviors, vendor updates) becomes available?</w:t>
      </w:r>
    </w:p>
    <w:p>
      <w:pPr>
        <w:spacing w:after="40"/>
      </w:pPr>
      <w:r>
        <w:rPr>
          <w:i/>
          <w:iCs/>
          <w:color w:val="6B6B6B"/>
        </w:rPr>
        <w:t xml:space="preserve">RED = static after release. YELLOW = reviewed annually. GREEN = continuously reviewed.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pStyle w:val="Heading3"/>
      </w:pPr>
      <w:r>
        <w:t xml:space="preserve">Component 4 - Harm Risk Potential (HRP, §5.4)</w:t>
      </w:r>
    </w:p>
    <w:p>
      <w:pPr>
        <w:spacing w:after="80"/>
      </w:pPr>
      <w:r>
        <w:rPr>
          <w:i/>
          <w:iCs/>
          <w:color w:val="6B6B6B"/>
        </w:rPr>
        <w:t xml:space="preserve">A severity / reversibility taxonomy independent of SMC. Scale runs HRP-0 (no meaningful harm) through HRP-4 (irreversible physical harm or death). Combines domain harm models with scenario analysis of plausible worst-case outcomes.</w:t>
      </w:r>
    </w:p>
    <w:p>
      <w:pPr>
        <w:spacing w:after="40" w:before="120"/>
      </w:pPr>
      <w:r>
        <w:rPr>
          <w:b/>
          <w:bCs/>
        </w:rPr>
        <w:t xml:space="preserve">4.1. Has the deployment been formally classified at an HRP level (0 to 4), with documented scenarios of plausible worst-case harm?</w:t>
      </w:r>
    </w:p>
    <w:p>
      <w:pPr>
        <w:spacing w:after="40"/>
      </w:pPr>
      <w:r>
        <w:rPr>
          <w:i/>
          <w:iCs/>
          <w:color w:val="6B6B6B"/>
        </w:rPr>
        <w:t xml:space="preserve">RED = no classification. YELLOW = informal. GREEN = documented HRP with scenarios.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4.2. Does the HRP classification reflect BOTH the severity AND the reversibility of potential harms (not just severity alone)?</w:t>
      </w:r>
    </w:p>
    <w:p>
      <w:pPr>
        <w:spacing w:after="40"/>
      </w:pPr>
      <w:r>
        <w:rPr>
          <w:i/>
          <w:iCs/>
          <w:color w:val="6B6B6B"/>
        </w:rPr>
        <w:t xml:space="preserve">RED = severity only. YELLOW = partial. GREEN = both addressed explicitly.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4.3. Are the HRP scenarios grounded in worst-case analysis (not just observed historical incidents)?</w:t>
      </w:r>
    </w:p>
    <w:p>
      <w:pPr>
        <w:spacing w:after="40"/>
      </w:pPr>
      <w:r>
        <w:rPr>
          <w:i/>
          <w:iCs/>
          <w:color w:val="6B6B6B"/>
        </w:rPr>
        <w:t xml:space="preserve">RED = historical only. YELLOW = mixed. GREEN = explicit worst-case modeling.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4.4. Is HRP re-evaluated when the deployment context, user population, or downstream use changes?</w:t>
      </w:r>
    </w:p>
    <w:p>
      <w:pPr>
        <w:spacing w:after="40"/>
      </w:pPr>
      <w:r>
        <w:rPr>
          <w:i/>
          <w:iCs/>
          <w:color w:val="6B6B6B"/>
        </w:rPr>
        <w:t xml:space="preserve">RED = static. YELLOW = on major change. GREEN = continuous reevaluation.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pStyle w:val="Heading3"/>
      </w:pPr>
      <w:r>
        <w:t xml:space="preserve">Component 5 - Risk Response Requirements (RRR, §5.5)</w:t>
      </w:r>
    </w:p>
    <w:p>
      <w:pPr>
        <w:spacing w:after="80"/>
      </w:pPr>
      <w:r>
        <w:rPr>
          <w:i/>
          <w:iCs/>
          <w:color w:val="6B6B6B"/>
        </w:rPr>
        <w:t xml:space="preserve">Mandatory safeguards triggered by combinations of SMC and HRP. Cells range from "None" (SMC-0, HRP-0) through "Real-time Oversight + Kill Switch + Pre-Approval" (high SMC x high HRP). The SMC-4 x HRP-4 cell is "Restricted" - deployment prohibited.</w:t>
      </w:r>
    </w:p>
    <w:p>
      <w:pPr>
        <w:spacing w:after="40" w:before="120"/>
      </w:pPr>
      <w:r>
        <w:rPr>
          <w:b/>
          <w:bCs/>
        </w:rPr>
        <w:t xml:space="preserve">5.1. Has the RRR matrix cell for this deployment's (SMC, HRP) been looked up, and the required safeguard tier identified?</w:t>
      </w:r>
    </w:p>
    <w:p>
      <w:pPr>
        <w:spacing w:after="40"/>
      </w:pPr>
      <w:r>
        <w:rPr>
          <w:i/>
          <w:iCs/>
          <w:color w:val="6B6B6B"/>
        </w:rPr>
        <w:t xml:space="preserve">RED = not looked up. YELLOW = identified but not signed off. GREEN = identified, documented, approved.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5.2. Is each safeguard required by the matrix cell (logging / testing / monitoring / HITL / kill switch / pre-approval) operationally active right now?</w:t>
      </w:r>
    </w:p>
    <w:p>
      <w:pPr>
        <w:spacing w:after="40"/>
      </w:pPr>
      <w:r>
        <w:rPr>
          <w:i/>
          <w:iCs/>
          <w:color w:val="6B6B6B"/>
        </w:rPr>
        <w:t xml:space="preserve">RED = required safeguards missing. YELLOW = some active, some pending. GREEN = all active and tested.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5.3. When drift detection shows the system has moved into a HIGHER (SMC, HRP) cell, are the new safeguards implemented immediately?</w:t>
      </w:r>
    </w:p>
    <w:p>
      <w:pPr>
        <w:spacing w:after="40"/>
      </w:pPr>
      <w:r>
        <w:rPr>
          <w:i/>
          <w:iCs/>
          <w:color w:val="6B6B6B"/>
        </w:rPr>
        <w:t xml:space="preserve">RED = no escalation procedure. YELLOW = manual / slow. GREEN = automatic re-tier and safeguard activation.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5.4. If the deployment cell is SMC-4 x HRP-4 (Restricted), is the deployment in fact restricted or prohibited?</w:t>
      </w:r>
    </w:p>
    <w:p>
      <w:pPr>
        <w:spacing w:after="40"/>
      </w:pPr>
      <w:r>
        <w:rPr>
          <w:i/>
          <w:iCs/>
          <w:color w:val="6B6B6B"/>
        </w:rPr>
        <w:t xml:space="preserve">This is the doctrinal HARD STOP. "No - deployed anyway" is a NO-GO condition regardless of other answers.</w:t>
      </w:r>
    </w:p>
    <w:p>
      <w:pPr>
        <w:spacing w:after="20"/>
        <w:ind w:left="360"/>
      </w:pPr>
      <w:r>
        <w:t xml:space="preserve">[  ] Yes - restricted / prohibited</w:t>
      </w:r>
    </w:p>
    <w:p>
      <w:pPr>
        <w:spacing w:after="20"/>
        <w:ind w:left="360"/>
      </w:pPr>
      <w:r>
        <w:t xml:space="preserve">[  ] No - deployed anyway</w:t>
      </w:r>
    </w:p>
    <w:p>
      <w:pPr>
        <w:spacing w:after="20"/>
        <w:ind w:left="360"/>
      </w:pPr>
      <w:r>
        <w:t xml:space="preserve">[  ] Not applicable - not at SMC-4 x HRP-4</w:t>
      </w:r>
    </w:p>
    <w:p>
      <w:pPr>
        <w:spacing w:after="20"/>
        <w:ind w:left="360"/>
      </w:pPr>
      <w:r>
        <w:t xml:space="preserve">[  ] Unknown</w:t>
      </w:r>
    </w:p>
    <w:p>
      <w:pPr>
        <w:pStyle w:val="Heading3"/>
      </w:pPr>
      <w:r>
        <w:t xml:space="preserve">Component 6 - Verification and Reassessment Cycle (VRC, §5.6)</w:t>
      </w:r>
    </w:p>
    <w:p>
      <w:pPr>
        <w:spacing w:after="80"/>
      </w:pPr>
      <w:r>
        <w:rPr>
          <w:i/>
          <w:iCs/>
          <w:color w:val="6B6B6B"/>
        </w:rPr>
        <w:t xml:space="preserve">Institutionalizes periodic and drift-triggered review. SMC-2 systems are reassessed annually, SMC-3 semi-annually, SMC-4 quarterly or on regulator request. Closes evidentiary-instability and compliance-drift failures.</w:t>
      </w:r>
    </w:p>
    <w:p>
      <w:pPr>
        <w:spacing w:after="40" w:before="120"/>
      </w:pPr>
      <w:r>
        <w:rPr>
          <w:b/>
          <w:bCs/>
        </w:rPr>
        <w:t xml:space="preserve">6.1. Is there a scheduled reassessment cycle (annual / semi-annual / quarterly) appropriate to the deployment's SMC level?</w:t>
      </w:r>
    </w:p>
    <w:p>
      <w:pPr>
        <w:spacing w:after="40"/>
      </w:pPr>
      <w:r>
        <w:rPr>
          <w:i/>
          <w:iCs/>
          <w:color w:val="6B6B6B"/>
        </w:rPr>
        <w:t xml:space="preserve">RED = no schedule. YELLOW = schedule exists but slipped. GREEN = on cadence.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6.2. Are drift thresholds (behavioral deviation, emergent capability, output-distribution shift, incident accumulation) defined in advance?</w:t>
      </w:r>
    </w:p>
    <w:p>
      <w:pPr>
        <w:spacing w:after="40"/>
      </w:pPr>
      <w:r>
        <w:rPr>
          <w:i/>
          <w:iCs/>
          <w:color w:val="6B6B6B"/>
        </w:rPr>
        <w:t xml:space="preserve">RED = no thresholds. YELLOW = informal. GREEN = pre-defined and regulator-approved.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6.3. When drift detection fires, does a reassessment in fact occur (not just an alert)?</w:t>
      </w:r>
    </w:p>
    <w:p>
      <w:pPr>
        <w:spacing w:after="40"/>
      </w:pPr>
      <w:r>
        <w:rPr>
          <w:i/>
          <w:iCs/>
          <w:color w:val="6B6B6B"/>
        </w:rPr>
        <w:t xml:space="preserve">RED = alert ignored. YELLOW = informal review. GREEN = full reassessment workflow.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6.4. Are all verification records (monitoring logs, incident reports, reassessment findings) retained and accessible to regulators?</w:t>
      </w:r>
    </w:p>
    <w:p>
      <w:pPr>
        <w:spacing w:after="40"/>
      </w:pPr>
      <w:r>
        <w:rPr>
          <w:i/>
          <w:iCs/>
          <w:color w:val="6B6B6B"/>
        </w:rPr>
        <w:t xml:space="preserve">RED = not retained. YELLOW = retained but not regulator-accessible. GREEN = both.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No written runtime monitoring obligation (ROO unmet)</w:t>
      </w:r>
    </w:p>
    <w:p>
      <w:pPr>
        <w:pStyle w:val="ListParagraph"/>
        <w:numPr>
          <w:ilvl w:val="0"/>
          <w:numId w:val="2"/>
        </w:numPr>
      </w:pPr>
      <w:r>
        <w:t xml:space="preserve">Liability disclaimed for self-modification events (PLD unmet)</w:t>
      </w:r>
    </w:p>
    <w:p>
      <w:pPr>
        <w:pStyle w:val="ListParagraph"/>
        <w:numPr>
          <w:ilvl w:val="0"/>
          <w:numId w:val="2"/>
        </w:numPr>
      </w:pPr>
      <w:r>
        <w:t xml:space="preserve">No SMC classification on file, or SMC defaults to LOWER on ambiguous evidence</w:t>
      </w:r>
    </w:p>
    <w:p>
      <w:pPr>
        <w:pStyle w:val="ListParagraph"/>
        <w:numPr>
          <w:ilvl w:val="0"/>
          <w:numId w:val="2"/>
        </w:numPr>
      </w:pPr>
      <w:r>
        <w:t xml:space="preserve">HRP justified by "no prior complaints" instead of worst-case scenarios</w:t>
      </w:r>
    </w:p>
    <w:p>
      <w:pPr>
        <w:pStyle w:val="ListParagraph"/>
        <w:numPr>
          <w:ilvl w:val="0"/>
          <w:numId w:val="2"/>
        </w:numPr>
      </w:pPr>
      <w:r>
        <w:t xml:space="preserve">RRR matrix cell not looked up, or required safeguards not active</w:t>
      </w:r>
    </w:p>
    <w:p>
      <w:pPr>
        <w:pStyle w:val="ListParagraph"/>
        <w:numPr>
          <w:ilvl w:val="0"/>
          <w:numId w:val="2"/>
        </w:numPr>
      </w:pPr>
      <w:r>
        <w:t xml:space="preserve">Drift alerts produce no reassessment</w:t>
      </w:r>
    </w:p>
    <w:p>
      <w:pPr>
        <w:pStyle w:val="ListParagraph"/>
        <w:numPr>
          <w:ilvl w:val="0"/>
          <w:numId w:val="2"/>
        </w:numPr>
      </w:pPr>
      <w:r>
        <w:t xml:space="preserve">Verification records inaccessible to regulators</w:t>
      </w:r>
    </w:p>
    <w:p>
      <w:pPr>
        <w:pStyle w:val="ListParagraph"/>
        <w:numPr>
          <w:ilvl w:val="0"/>
          <w:numId w:val="2"/>
        </w:numPr>
      </w:pPr>
      <w:r>
        <w:t xml:space="preserve">Deployment at SMC-4 x HRP-4 not restricted</w:t>
      </w:r>
    </w:p>
    <w:p>
      <w:pPr>
        <w:pStyle w:val="Heading3"/>
      </w:pPr>
      <w:r>
        <w:t xml:space="preserve">Final CARG Summary</w:t>
      </w:r>
    </w:p>
    <w:p>
      <w:pPr>
        <w:spacing w:after="40" w:before="120"/>
      </w:pPr>
      <w:r>
        <w:rPr>
          <w:b/>
          <w:bCs/>
        </w:rPr>
        <w:t xml:space="preserve">7.1. CARG normalized score (0 to 100):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7.2. Three components requiring immediate action (top concerns):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7.3. RRR matrix cell (SMC level, HRP level, required safeguard):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7.4. Hard-stop triggered (SMC-4 x HRP-4)?</w:t>
      </w:r>
    </w:p>
    <w:p>
      <w:pPr>
        <w:spacing w:after="20"/>
        <w:ind w:left="360"/>
      </w:pPr>
      <w:r>
        <w:t xml:space="preserve">[  ] Yes - NO-GO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7.5. Next reassessment date: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Sources</w:t>
      </w:r>
    </w:p>
    <w:p>
      <w:pPr>
        <w:pStyle w:val="ListParagraph"/>
        <w:numPr>
          <w:ilvl w:val="0"/>
          <w:numId w:val="2"/>
        </w:numPr>
      </w:pPr>
      <w:r>
        <w:t xml:space="preserve">CARG manuscript (Carvalho 2026) - https://cinderpoint.com/safemachine/papers/carg</w:t>
      </w:r>
    </w:p>
    <w:p>
      <w:pPr>
        <w:pStyle w:val="ListParagraph"/>
        <w:numPr>
          <w:ilvl w:val="0"/>
          <w:numId w:val="2"/>
        </w:numPr>
      </w:pPr>
      <w:r>
        <w:t xml:space="preserve">EU AI Act - Regulation (EU) 2024/1689 - https://eur-lex.europa.eu/eli/reg/2024/1689/oj</w:t>
      </w:r>
    </w:p>
    <w:p>
      <w:pPr>
        <w:pStyle w:val="ListParagraph"/>
        <w:numPr>
          <w:ilvl w:val="0"/>
          <w:numId w:val="2"/>
        </w:numPr>
      </w:pPr>
      <w:r>
        <w:t xml:space="preserve">EU AI Liability Directive (proposed) - https://commission.europa.eu/business-economy-euro/doing-business-eu/contract-rules/digital-contracts/liability-rules-artificial-intelligence_en</w:t>
      </w:r>
    </w:p>
    <w:p>
      <w:pPr>
        <w:pStyle w:val="ListParagraph"/>
        <w:numPr>
          <w:ilvl w:val="0"/>
          <w:numId w:val="2"/>
        </w:numPr>
      </w:pPr>
      <w:r>
        <w:t xml:space="preserve">NIST Cybersecurity Framework - https://www.nist.gov/cyberframework</w:t>
      </w:r>
    </w:p>
    <w:p>
      <w:pPr>
        <w:pStyle w:val="ListParagraph"/>
        <w:numPr>
          <w:ilvl w:val="0"/>
          <w:numId w:val="2"/>
        </w:numPr>
      </w:pPr>
      <w:r>
        <w:t xml:space="preserve">FDA Software as a Medical Device (SaMD) - https://www.fda.gov/medical-devices/digital-health-center-excellence/software-medical-device-samd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6B6B"/>
        <w:sz w:val="16"/>
        <w:szCs w:val="16"/>
      </w:rPr>
      <w:t xml:space="preserve">(c) 2026 Cinderpoint Systems LLC  -  cinderpoint.com/safemachine  -  Page </w:t>
    </w:r>
    <w:r>
      <w:rPr>
        <w:color w:val="6B6B6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6B6B"/>
        <w:sz w:val="16"/>
        <w:szCs w:val="16"/>
      </w:rPr>
      <w:t xml:space="preserve">CARG - Continuous AI Runtime Governance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/>
    </w:pPr>
    <w:rPr>
      <w:b/>
      <w:bCs/>
      <w:color w:val="1A1A1A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b/>
      <w:bCs/>
      <w:color w:val="0E7C7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b/>
      <w:bCs/>
      <w:color w:val="0E7C7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00cd2a89c40128b16d02d51af3e8c1dda11faf5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 - Continuous AI Runtime Governance</dc:title>
  <dc:creator>SAFEMACHINE (Waydell D. Carvalho)</dc:creator>
  <cp:lastModifiedBy>Un-named</cp:lastModifiedBy>
  <cp:revision>1</cp:revision>
  <dcterms:created xsi:type="dcterms:W3CDTF">2026-06-02T23:43:17.676Z</dcterms:created>
  <dcterms:modified xsi:type="dcterms:W3CDTF">2026-06-02T23:43:17.676Z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